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1C8A0" w14:textId="70371597" w:rsidR="001E7E0B" w:rsidRPr="00DF3DAE" w:rsidRDefault="002E6C56" w:rsidP="002E6C56">
      <w:pPr>
        <w:jc w:val="center"/>
        <w:rPr>
          <w:b/>
          <w:bCs/>
          <w:color w:val="C00000"/>
          <w:sz w:val="36"/>
          <w:szCs w:val="36"/>
        </w:rPr>
      </w:pPr>
      <w:r w:rsidRPr="00DF3DAE">
        <w:rPr>
          <w:b/>
          <w:bCs/>
          <w:color w:val="C00000"/>
          <w:sz w:val="36"/>
          <w:szCs w:val="36"/>
        </w:rPr>
        <w:t>Minerva Circle Eligibility</w:t>
      </w:r>
    </w:p>
    <w:p w14:paraId="5C3E3237" w14:textId="59193CCC" w:rsidR="002E6C56" w:rsidRDefault="002E6C56"/>
    <w:tbl>
      <w:tblPr>
        <w:tblW w:w="12420" w:type="dxa"/>
        <w:tblInd w:w="-1541" w:type="dxa"/>
        <w:shd w:val="clear" w:color="auto" w:fill="C00000"/>
        <w:tblCellMar>
          <w:left w:w="0" w:type="dxa"/>
          <w:right w:w="0" w:type="dxa"/>
        </w:tblCellMar>
        <w:tblLook w:val="0420" w:firstRow="1" w:lastRow="0" w:firstColumn="0" w:lastColumn="0" w:noHBand="0" w:noVBand="1"/>
      </w:tblPr>
      <w:tblGrid>
        <w:gridCol w:w="12420"/>
      </w:tblGrid>
      <w:tr w:rsidR="002E6C56" w:rsidRPr="002E6C56" w14:paraId="59A26292" w14:textId="77777777" w:rsidTr="00DF3DAE">
        <w:trPr>
          <w:trHeight w:val="239"/>
        </w:trPr>
        <w:tc>
          <w:tcPr>
            <w:tcW w:w="12420" w:type="dxa"/>
            <w:tcBorders>
              <w:top w:val="single" w:sz="8" w:space="0" w:color="FFFFFF"/>
              <w:left w:val="single" w:sz="8" w:space="0" w:color="FFFFFF"/>
              <w:bottom w:val="single" w:sz="24" w:space="0" w:color="FFFFFF"/>
              <w:right w:val="single" w:sz="8" w:space="0" w:color="FFFFFF"/>
            </w:tcBorders>
            <w:shd w:val="clear" w:color="auto" w:fill="C00000"/>
            <w:tcMar>
              <w:top w:w="72" w:type="dxa"/>
              <w:left w:w="144" w:type="dxa"/>
              <w:bottom w:w="72" w:type="dxa"/>
              <w:right w:w="144" w:type="dxa"/>
            </w:tcMar>
            <w:hideMark/>
          </w:tcPr>
          <w:p w14:paraId="4D79EDBE" w14:textId="77777777" w:rsidR="002E6C56" w:rsidRPr="002E6C56" w:rsidRDefault="002E6C56" w:rsidP="002E6C56">
            <w:pPr>
              <w:spacing w:after="0" w:line="240" w:lineRule="auto"/>
              <w:rPr>
                <w:rFonts w:ascii="Arial" w:eastAsia="Times New Roman" w:hAnsi="Arial" w:cs="Arial"/>
                <w:sz w:val="36"/>
                <w:szCs w:val="36"/>
              </w:rPr>
            </w:pPr>
            <w:r w:rsidRPr="00DF3DAE">
              <w:rPr>
                <w:rFonts w:ascii="Georgia" w:eastAsiaTheme="minorEastAsia" w:hAnsi="Georgia"/>
                <w:b/>
                <w:bCs/>
                <w:color w:val="FFFFFF" w:themeColor="background1"/>
                <w:kern w:val="24"/>
              </w:rPr>
              <w:t>Minerva Circle Eligibility</w:t>
            </w:r>
          </w:p>
        </w:tc>
      </w:tr>
      <w:tr w:rsidR="002E6C56" w:rsidRPr="002E6C56" w14:paraId="138BF75F" w14:textId="77777777" w:rsidTr="00DF3DAE">
        <w:trPr>
          <w:trHeight w:val="2431"/>
        </w:trPr>
        <w:tc>
          <w:tcPr>
            <w:tcW w:w="12420"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45AC5EFE" w14:textId="479C6A61" w:rsidR="002E6C56" w:rsidRPr="002E6C56" w:rsidRDefault="002E6C56" w:rsidP="002E6C56">
            <w:pPr>
              <w:numPr>
                <w:ilvl w:val="0"/>
                <w:numId w:val="2"/>
              </w:numPr>
              <w:spacing w:after="0" w:line="240" w:lineRule="auto"/>
              <w:ind w:left="994"/>
              <w:contextualSpacing/>
              <w:rPr>
                <w:rFonts w:ascii="Arial" w:eastAsia="Times New Roman" w:hAnsi="Arial" w:cs="Arial"/>
                <w:szCs w:val="36"/>
              </w:rPr>
            </w:pPr>
            <w:r w:rsidRPr="002E6C56">
              <w:rPr>
                <w:rFonts w:ascii="Georgia" w:eastAsiaTheme="minorEastAsia" w:hAnsi="Georgia"/>
                <w:color w:val="000000"/>
                <w:kern w:val="24"/>
              </w:rPr>
              <w:t xml:space="preserve">Must have been a member of the chapter for the past two years (two years prior to the current sorority year) at the time of election to the Minerva Circle and must maintain her member status for the entire membership intake process. NOTE: The two-year membership requirement is not applicable for collegiate members. </w:t>
            </w:r>
          </w:p>
          <w:p w14:paraId="56A9D916" w14:textId="77777777" w:rsidR="002E6C56" w:rsidRPr="002E6C56" w:rsidRDefault="002E6C56" w:rsidP="002E6C56">
            <w:pPr>
              <w:spacing w:after="0" w:line="240" w:lineRule="auto"/>
              <w:ind w:left="994"/>
              <w:contextualSpacing/>
              <w:rPr>
                <w:rFonts w:ascii="Arial" w:eastAsia="Times New Roman" w:hAnsi="Arial" w:cs="Arial"/>
                <w:szCs w:val="36"/>
              </w:rPr>
            </w:pPr>
          </w:p>
          <w:p w14:paraId="00C51BF5" w14:textId="4CFA16A1" w:rsidR="002E6C56" w:rsidRPr="002E6C56" w:rsidRDefault="002E6C56" w:rsidP="002E6C56">
            <w:pPr>
              <w:numPr>
                <w:ilvl w:val="0"/>
                <w:numId w:val="2"/>
              </w:numPr>
              <w:spacing w:after="0" w:line="240" w:lineRule="auto"/>
              <w:ind w:left="994"/>
              <w:contextualSpacing/>
              <w:rPr>
                <w:rFonts w:ascii="Arial" w:eastAsia="Times New Roman" w:hAnsi="Arial" w:cs="Arial"/>
                <w:szCs w:val="36"/>
              </w:rPr>
            </w:pPr>
            <w:r w:rsidRPr="002E6C56">
              <w:rPr>
                <w:rFonts w:ascii="Georgia" w:eastAsiaTheme="minorEastAsia" w:hAnsi="Georgia"/>
                <w:color w:val="000000"/>
                <w:kern w:val="24"/>
              </w:rPr>
              <w:t>Members of the Minerva Circle, including all members of the chapter advisory team (collegiate chapters only), must complete the chapter’s two (2) Delta Internal Development workshops, Membership Intake Training, and Minerva Circle Training within the sorority year of the chapter’s scheduled membership intake activities.</w:t>
            </w:r>
          </w:p>
          <w:p w14:paraId="7240348C" w14:textId="77777777" w:rsidR="002E6C56" w:rsidRDefault="002E6C56" w:rsidP="002E6C56">
            <w:pPr>
              <w:pStyle w:val="ListParagraph"/>
              <w:rPr>
                <w:rFonts w:ascii="Arial" w:hAnsi="Arial" w:cs="Arial"/>
                <w:szCs w:val="36"/>
              </w:rPr>
            </w:pPr>
          </w:p>
          <w:p w14:paraId="3142FF12" w14:textId="77777777" w:rsidR="002E6C56" w:rsidRPr="002E6C56" w:rsidRDefault="002E6C56" w:rsidP="002E6C56">
            <w:pPr>
              <w:spacing w:after="0" w:line="240" w:lineRule="auto"/>
              <w:ind w:left="994"/>
              <w:contextualSpacing/>
              <w:rPr>
                <w:rFonts w:ascii="Arial" w:eastAsia="Times New Roman" w:hAnsi="Arial" w:cs="Arial"/>
                <w:szCs w:val="36"/>
              </w:rPr>
            </w:pPr>
          </w:p>
          <w:p w14:paraId="24CE25C7" w14:textId="77777777" w:rsidR="002E6C56" w:rsidRPr="002E6C56" w:rsidRDefault="002E6C56" w:rsidP="002E6C56">
            <w:pPr>
              <w:numPr>
                <w:ilvl w:val="0"/>
                <w:numId w:val="2"/>
              </w:numPr>
              <w:spacing w:after="0" w:line="240" w:lineRule="auto"/>
              <w:ind w:left="994"/>
              <w:contextualSpacing/>
              <w:rPr>
                <w:rFonts w:ascii="Arial" w:eastAsia="Times New Roman" w:hAnsi="Arial" w:cs="Arial"/>
                <w:szCs w:val="36"/>
              </w:rPr>
            </w:pPr>
            <w:r w:rsidRPr="002E6C56">
              <w:rPr>
                <w:rFonts w:ascii="Georgia" w:eastAsiaTheme="minorEastAsia" w:hAnsi="Georgia"/>
                <w:color w:val="000000"/>
                <w:kern w:val="24"/>
              </w:rPr>
              <w:t xml:space="preserve">Must have attended at least </w:t>
            </w:r>
            <w:r w:rsidRPr="002E6C56">
              <w:rPr>
                <w:rFonts w:ascii="Georgia" w:eastAsiaTheme="minorEastAsia" w:hAnsi="Georgia"/>
                <w:color w:val="000000"/>
                <w:kern w:val="24"/>
                <w:u w:val="single"/>
              </w:rPr>
              <w:t xml:space="preserve">two </w:t>
            </w:r>
            <w:r w:rsidRPr="002E6C56">
              <w:rPr>
                <w:rFonts w:ascii="Georgia" w:eastAsiaTheme="minorEastAsia" w:hAnsi="Georgia"/>
                <w:color w:val="000000"/>
                <w:kern w:val="24"/>
              </w:rPr>
              <w:t xml:space="preserve">of the last three National Conventions AND </w:t>
            </w:r>
            <w:r w:rsidRPr="002E6C56">
              <w:rPr>
                <w:rFonts w:ascii="Georgia" w:eastAsiaTheme="minorEastAsia" w:hAnsi="Georgia"/>
                <w:color w:val="000000"/>
                <w:kern w:val="24"/>
                <w:u w:val="single"/>
              </w:rPr>
              <w:t xml:space="preserve">two </w:t>
            </w:r>
            <w:r w:rsidRPr="002E6C56">
              <w:rPr>
                <w:rFonts w:ascii="Georgia" w:eastAsiaTheme="minorEastAsia" w:hAnsi="Georgia"/>
                <w:color w:val="000000"/>
                <w:kern w:val="24"/>
              </w:rPr>
              <w:t xml:space="preserve">of the last three Regional Conferences held prior to her nomination. (Not applicable to Collegiate sorors).  Note: </w:t>
            </w:r>
            <w:r w:rsidRPr="002E6C56">
              <w:rPr>
                <w:rFonts w:ascii="Georgia" w:eastAsiaTheme="minorEastAsia" w:hAnsi="Georgia"/>
                <w:color w:val="000000" w:themeColor="text1"/>
                <w:kern w:val="24"/>
              </w:rPr>
              <w:t>Exceptions for small chapters must receive Regional Director approval.</w:t>
            </w:r>
          </w:p>
        </w:tc>
      </w:tr>
    </w:tbl>
    <w:p w14:paraId="215EE19F" w14:textId="50025625" w:rsidR="00882E5D" w:rsidRDefault="00882E5D"/>
    <w:p w14:paraId="5571B78A" w14:textId="77777777" w:rsidR="00882E5D" w:rsidRDefault="00882E5D" w:rsidP="00882E5D">
      <w:pPr>
        <w:pStyle w:val="NormalWeb"/>
        <w:spacing w:before="0" w:beforeAutospacing="0" w:after="0" w:afterAutospacing="0"/>
      </w:pPr>
      <w:r>
        <w:rPr>
          <w:rFonts w:ascii="Georgia" w:eastAsiaTheme="minorEastAsia" w:hAnsi="Georgia" w:cstheme="minorBidi"/>
          <w:b/>
          <w:bCs/>
          <w:color w:val="C00000"/>
          <w:kern w:val="24"/>
          <w:sz w:val="20"/>
          <w:szCs w:val="20"/>
        </w:rPr>
        <w:t>Chapter Training</w:t>
      </w:r>
    </w:p>
    <w:p w14:paraId="069B00E1" w14:textId="77777777" w:rsidR="00882E5D" w:rsidRDefault="00882E5D" w:rsidP="00882E5D">
      <w:pPr>
        <w:pStyle w:val="ListParagraph"/>
        <w:numPr>
          <w:ilvl w:val="0"/>
          <w:numId w:val="3"/>
        </w:numPr>
        <w:rPr>
          <w:sz w:val="20"/>
        </w:rPr>
      </w:pPr>
      <w:r>
        <w:rPr>
          <w:rFonts w:ascii="Georgia" w:eastAsiaTheme="minorEastAsia" w:hAnsi="Georgia" w:cstheme="minorBidi"/>
          <w:color w:val="000000"/>
          <w:kern w:val="24"/>
          <w:sz w:val="20"/>
          <w:szCs w:val="20"/>
        </w:rPr>
        <w:t>Required DID Training (</w:t>
      </w:r>
      <w:r>
        <w:rPr>
          <w:rFonts w:ascii="Georgia" w:eastAsiaTheme="minorEastAsia" w:hAnsi="Georgia" w:cstheme="minorBidi"/>
          <w:i/>
          <w:iCs/>
          <w:color w:val="000000"/>
          <w:kern w:val="24"/>
          <w:sz w:val="20"/>
          <w:szCs w:val="20"/>
        </w:rPr>
        <w:t>expected in December 2021</w:t>
      </w:r>
      <w:r>
        <w:rPr>
          <w:rFonts w:ascii="Georgia" w:eastAsiaTheme="minorEastAsia" w:hAnsi="Georgia" w:cstheme="minorBidi"/>
          <w:color w:val="000000"/>
          <w:kern w:val="24"/>
          <w:sz w:val="20"/>
          <w:szCs w:val="20"/>
        </w:rPr>
        <w:t>)</w:t>
      </w:r>
    </w:p>
    <w:p w14:paraId="037D5FC1" w14:textId="77777777" w:rsidR="00882E5D" w:rsidRDefault="00882E5D" w:rsidP="00882E5D">
      <w:pPr>
        <w:pStyle w:val="ListParagraph"/>
        <w:numPr>
          <w:ilvl w:val="1"/>
          <w:numId w:val="3"/>
        </w:numPr>
        <w:rPr>
          <w:sz w:val="20"/>
        </w:rPr>
      </w:pPr>
      <w:r>
        <w:rPr>
          <w:rFonts w:ascii="Georgia" w:eastAsiaTheme="minorEastAsia" w:hAnsi="Georgia" w:cstheme="minorBidi"/>
          <w:color w:val="000000"/>
          <w:kern w:val="24"/>
          <w:sz w:val="20"/>
          <w:szCs w:val="20"/>
        </w:rPr>
        <w:t>New! Membership Intake Version (Sisterhood/Code of Conduct)</w:t>
      </w:r>
    </w:p>
    <w:p w14:paraId="7BCF2270" w14:textId="77777777" w:rsidR="00882E5D" w:rsidRDefault="00882E5D" w:rsidP="00882E5D">
      <w:pPr>
        <w:pStyle w:val="ListParagraph"/>
        <w:numPr>
          <w:ilvl w:val="1"/>
          <w:numId w:val="3"/>
        </w:numPr>
        <w:rPr>
          <w:sz w:val="20"/>
        </w:rPr>
      </w:pPr>
      <w:r>
        <w:rPr>
          <w:rFonts w:ascii="Georgia" w:eastAsiaTheme="minorEastAsia" w:hAnsi="Georgia" w:cstheme="minorBidi"/>
          <w:color w:val="000000"/>
          <w:kern w:val="24"/>
          <w:sz w:val="20"/>
          <w:szCs w:val="20"/>
        </w:rPr>
        <w:t>New! Membership Intake Version (Ritual and Ceremonies/Protocol/Delta Songs)</w:t>
      </w:r>
    </w:p>
    <w:p w14:paraId="54690CC9" w14:textId="77777777" w:rsidR="00882E5D" w:rsidRDefault="00882E5D" w:rsidP="00882E5D">
      <w:pPr>
        <w:pStyle w:val="ListParagraph"/>
        <w:numPr>
          <w:ilvl w:val="0"/>
          <w:numId w:val="3"/>
        </w:numPr>
        <w:rPr>
          <w:sz w:val="20"/>
        </w:rPr>
      </w:pPr>
      <w:r>
        <w:rPr>
          <w:rFonts w:ascii="Georgia" w:eastAsiaTheme="minorEastAsia" w:hAnsi="Georgia" w:cstheme="minorBidi"/>
          <w:color w:val="000000"/>
          <w:kern w:val="24"/>
          <w:sz w:val="20"/>
          <w:szCs w:val="20"/>
        </w:rPr>
        <w:t>Required MI Training (</w:t>
      </w:r>
      <w:r>
        <w:rPr>
          <w:rFonts w:ascii="Georgia" w:eastAsiaTheme="minorEastAsia" w:hAnsi="Georgia" w:cstheme="minorBidi"/>
          <w:i/>
          <w:iCs/>
          <w:color w:val="000000"/>
          <w:kern w:val="24"/>
          <w:sz w:val="20"/>
          <w:szCs w:val="20"/>
        </w:rPr>
        <w:t>expected January 2022</w:t>
      </w:r>
      <w:r>
        <w:rPr>
          <w:rFonts w:ascii="Georgia" w:eastAsiaTheme="minorEastAsia" w:hAnsi="Georgia" w:cstheme="minorBidi"/>
          <w:color w:val="000000"/>
          <w:kern w:val="24"/>
          <w:sz w:val="20"/>
          <w:szCs w:val="20"/>
        </w:rPr>
        <w:t xml:space="preserve">) </w:t>
      </w:r>
    </w:p>
    <w:p w14:paraId="5D1C5CA6" w14:textId="77777777" w:rsidR="00882E5D" w:rsidRDefault="00882E5D" w:rsidP="00882E5D">
      <w:pPr>
        <w:pStyle w:val="ListParagraph"/>
        <w:numPr>
          <w:ilvl w:val="1"/>
          <w:numId w:val="3"/>
        </w:numPr>
        <w:rPr>
          <w:sz w:val="20"/>
        </w:rPr>
      </w:pPr>
      <w:r>
        <w:rPr>
          <w:rFonts w:ascii="Georgia" w:eastAsiaTheme="minorEastAsia" w:hAnsi="Georgia" w:cstheme="minorBidi"/>
          <w:color w:val="000000"/>
          <w:kern w:val="24"/>
          <w:sz w:val="20"/>
          <w:szCs w:val="20"/>
        </w:rPr>
        <w:t xml:space="preserve">Chapter Training (4 hours) </w:t>
      </w:r>
    </w:p>
    <w:p w14:paraId="241B4025" w14:textId="77777777" w:rsidR="00882E5D" w:rsidRDefault="00882E5D" w:rsidP="00882E5D">
      <w:pPr>
        <w:pStyle w:val="ListParagraph"/>
        <w:numPr>
          <w:ilvl w:val="1"/>
          <w:numId w:val="3"/>
        </w:numPr>
        <w:rPr>
          <w:sz w:val="20"/>
        </w:rPr>
      </w:pPr>
      <w:r>
        <w:rPr>
          <w:rFonts w:ascii="Georgia" w:eastAsiaTheme="minorEastAsia" w:hAnsi="Georgia" w:cstheme="minorBidi"/>
          <w:color w:val="000000"/>
          <w:kern w:val="24"/>
          <w:sz w:val="20"/>
          <w:szCs w:val="20"/>
        </w:rPr>
        <w:t>Small Chapter Training (7-8 hours)</w:t>
      </w:r>
    </w:p>
    <w:p w14:paraId="44789E3D" w14:textId="77777777" w:rsidR="00882E5D" w:rsidRDefault="00882E5D" w:rsidP="00882E5D">
      <w:pPr>
        <w:pStyle w:val="ListParagraph"/>
        <w:numPr>
          <w:ilvl w:val="1"/>
          <w:numId w:val="3"/>
        </w:numPr>
        <w:rPr>
          <w:sz w:val="20"/>
        </w:rPr>
      </w:pPr>
      <w:r>
        <w:rPr>
          <w:rFonts w:ascii="Georgia" w:eastAsiaTheme="minorEastAsia" w:hAnsi="Georgia" w:cstheme="minorBidi"/>
          <w:color w:val="000000"/>
          <w:kern w:val="24"/>
          <w:sz w:val="20"/>
          <w:szCs w:val="20"/>
        </w:rPr>
        <w:t xml:space="preserve">Minerva Circle Training (4 hours) </w:t>
      </w:r>
    </w:p>
    <w:p w14:paraId="04AFAAED" w14:textId="77777777" w:rsidR="00882E5D" w:rsidRDefault="00882E5D"/>
    <w:sectPr w:rsidR="00882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01A5D"/>
    <w:multiLevelType w:val="hybridMultilevel"/>
    <w:tmpl w:val="482417E0"/>
    <w:lvl w:ilvl="0" w:tplc="6A408794">
      <w:start w:val="1"/>
      <w:numFmt w:val="bullet"/>
      <w:lvlText w:val=""/>
      <w:lvlJc w:val="left"/>
      <w:pPr>
        <w:tabs>
          <w:tab w:val="num" w:pos="720"/>
        </w:tabs>
        <w:ind w:left="720" w:hanging="360"/>
      </w:pPr>
      <w:rPr>
        <w:rFonts w:ascii="Wingdings" w:hAnsi="Wingdings" w:hint="default"/>
      </w:rPr>
    </w:lvl>
    <w:lvl w:ilvl="1" w:tplc="E23EE992">
      <w:numFmt w:val="bullet"/>
      <w:lvlText w:val=""/>
      <w:lvlJc w:val="left"/>
      <w:pPr>
        <w:tabs>
          <w:tab w:val="num" w:pos="1440"/>
        </w:tabs>
        <w:ind w:left="1440" w:hanging="360"/>
      </w:pPr>
      <w:rPr>
        <w:rFonts w:ascii="Wingdings" w:hAnsi="Wingdings" w:hint="default"/>
      </w:rPr>
    </w:lvl>
    <w:lvl w:ilvl="2" w:tplc="0606720C" w:tentative="1">
      <w:start w:val="1"/>
      <w:numFmt w:val="bullet"/>
      <w:lvlText w:val=""/>
      <w:lvlJc w:val="left"/>
      <w:pPr>
        <w:tabs>
          <w:tab w:val="num" w:pos="2160"/>
        </w:tabs>
        <w:ind w:left="2160" w:hanging="360"/>
      </w:pPr>
      <w:rPr>
        <w:rFonts w:ascii="Wingdings" w:hAnsi="Wingdings" w:hint="default"/>
      </w:rPr>
    </w:lvl>
    <w:lvl w:ilvl="3" w:tplc="CAE2BCFA" w:tentative="1">
      <w:start w:val="1"/>
      <w:numFmt w:val="bullet"/>
      <w:lvlText w:val=""/>
      <w:lvlJc w:val="left"/>
      <w:pPr>
        <w:tabs>
          <w:tab w:val="num" w:pos="2880"/>
        </w:tabs>
        <w:ind w:left="2880" w:hanging="360"/>
      </w:pPr>
      <w:rPr>
        <w:rFonts w:ascii="Wingdings" w:hAnsi="Wingdings" w:hint="default"/>
      </w:rPr>
    </w:lvl>
    <w:lvl w:ilvl="4" w:tplc="4DC87754" w:tentative="1">
      <w:start w:val="1"/>
      <w:numFmt w:val="bullet"/>
      <w:lvlText w:val=""/>
      <w:lvlJc w:val="left"/>
      <w:pPr>
        <w:tabs>
          <w:tab w:val="num" w:pos="3600"/>
        </w:tabs>
        <w:ind w:left="3600" w:hanging="360"/>
      </w:pPr>
      <w:rPr>
        <w:rFonts w:ascii="Wingdings" w:hAnsi="Wingdings" w:hint="default"/>
      </w:rPr>
    </w:lvl>
    <w:lvl w:ilvl="5" w:tplc="6C3E066C" w:tentative="1">
      <w:start w:val="1"/>
      <w:numFmt w:val="bullet"/>
      <w:lvlText w:val=""/>
      <w:lvlJc w:val="left"/>
      <w:pPr>
        <w:tabs>
          <w:tab w:val="num" w:pos="4320"/>
        </w:tabs>
        <w:ind w:left="4320" w:hanging="360"/>
      </w:pPr>
      <w:rPr>
        <w:rFonts w:ascii="Wingdings" w:hAnsi="Wingdings" w:hint="default"/>
      </w:rPr>
    </w:lvl>
    <w:lvl w:ilvl="6" w:tplc="9D8A4DA0" w:tentative="1">
      <w:start w:val="1"/>
      <w:numFmt w:val="bullet"/>
      <w:lvlText w:val=""/>
      <w:lvlJc w:val="left"/>
      <w:pPr>
        <w:tabs>
          <w:tab w:val="num" w:pos="5040"/>
        </w:tabs>
        <w:ind w:left="5040" w:hanging="360"/>
      </w:pPr>
      <w:rPr>
        <w:rFonts w:ascii="Wingdings" w:hAnsi="Wingdings" w:hint="default"/>
      </w:rPr>
    </w:lvl>
    <w:lvl w:ilvl="7" w:tplc="795C3D02" w:tentative="1">
      <w:start w:val="1"/>
      <w:numFmt w:val="bullet"/>
      <w:lvlText w:val=""/>
      <w:lvlJc w:val="left"/>
      <w:pPr>
        <w:tabs>
          <w:tab w:val="num" w:pos="5760"/>
        </w:tabs>
        <w:ind w:left="5760" w:hanging="360"/>
      </w:pPr>
      <w:rPr>
        <w:rFonts w:ascii="Wingdings" w:hAnsi="Wingdings" w:hint="default"/>
      </w:rPr>
    </w:lvl>
    <w:lvl w:ilvl="8" w:tplc="D7CE837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2742F9"/>
    <w:multiLevelType w:val="hybridMultilevel"/>
    <w:tmpl w:val="205484E2"/>
    <w:lvl w:ilvl="0" w:tplc="50F05CC2">
      <w:start w:val="1"/>
      <w:numFmt w:val="bullet"/>
      <w:lvlText w:val=""/>
      <w:lvlJc w:val="left"/>
      <w:pPr>
        <w:tabs>
          <w:tab w:val="num" w:pos="720"/>
        </w:tabs>
        <w:ind w:left="720" w:hanging="360"/>
      </w:pPr>
      <w:rPr>
        <w:rFonts w:ascii="Wingdings" w:hAnsi="Wingdings" w:hint="default"/>
      </w:rPr>
    </w:lvl>
    <w:lvl w:ilvl="1" w:tplc="D26069DE" w:tentative="1">
      <w:start w:val="1"/>
      <w:numFmt w:val="bullet"/>
      <w:lvlText w:val=""/>
      <w:lvlJc w:val="left"/>
      <w:pPr>
        <w:tabs>
          <w:tab w:val="num" w:pos="1440"/>
        </w:tabs>
        <w:ind w:left="1440" w:hanging="360"/>
      </w:pPr>
      <w:rPr>
        <w:rFonts w:ascii="Wingdings" w:hAnsi="Wingdings" w:hint="default"/>
      </w:rPr>
    </w:lvl>
    <w:lvl w:ilvl="2" w:tplc="E36E706C" w:tentative="1">
      <w:start w:val="1"/>
      <w:numFmt w:val="bullet"/>
      <w:lvlText w:val=""/>
      <w:lvlJc w:val="left"/>
      <w:pPr>
        <w:tabs>
          <w:tab w:val="num" w:pos="2160"/>
        </w:tabs>
        <w:ind w:left="2160" w:hanging="360"/>
      </w:pPr>
      <w:rPr>
        <w:rFonts w:ascii="Wingdings" w:hAnsi="Wingdings" w:hint="default"/>
      </w:rPr>
    </w:lvl>
    <w:lvl w:ilvl="3" w:tplc="4BD0DBDC" w:tentative="1">
      <w:start w:val="1"/>
      <w:numFmt w:val="bullet"/>
      <w:lvlText w:val=""/>
      <w:lvlJc w:val="left"/>
      <w:pPr>
        <w:tabs>
          <w:tab w:val="num" w:pos="2880"/>
        </w:tabs>
        <w:ind w:left="2880" w:hanging="360"/>
      </w:pPr>
      <w:rPr>
        <w:rFonts w:ascii="Wingdings" w:hAnsi="Wingdings" w:hint="default"/>
      </w:rPr>
    </w:lvl>
    <w:lvl w:ilvl="4" w:tplc="29A4CF80" w:tentative="1">
      <w:start w:val="1"/>
      <w:numFmt w:val="bullet"/>
      <w:lvlText w:val=""/>
      <w:lvlJc w:val="left"/>
      <w:pPr>
        <w:tabs>
          <w:tab w:val="num" w:pos="3600"/>
        </w:tabs>
        <w:ind w:left="3600" w:hanging="360"/>
      </w:pPr>
      <w:rPr>
        <w:rFonts w:ascii="Wingdings" w:hAnsi="Wingdings" w:hint="default"/>
      </w:rPr>
    </w:lvl>
    <w:lvl w:ilvl="5" w:tplc="134234D8" w:tentative="1">
      <w:start w:val="1"/>
      <w:numFmt w:val="bullet"/>
      <w:lvlText w:val=""/>
      <w:lvlJc w:val="left"/>
      <w:pPr>
        <w:tabs>
          <w:tab w:val="num" w:pos="4320"/>
        </w:tabs>
        <w:ind w:left="4320" w:hanging="360"/>
      </w:pPr>
      <w:rPr>
        <w:rFonts w:ascii="Wingdings" w:hAnsi="Wingdings" w:hint="default"/>
      </w:rPr>
    </w:lvl>
    <w:lvl w:ilvl="6" w:tplc="B3986B20" w:tentative="1">
      <w:start w:val="1"/>
      <w:numFmt w:val="bullet"/>
      <w:lvlText w:val=""/>
      <w:lvlJc w:val="left"/>
      <w:pPr>
        <w:tabs>
          <w:tab w:val="num" w:pos="5040"/>
        </w:tabs>
        <w:ind w:left="5040" w:hanging="360"/>
      </w:pPr>
      <w:rPr>
        <w:rFonts w:ascii="Wingdings" w:hAnsi="Wingdings" w:hint="default"/>
      </w:rPr>
    </w:lvl>
    <w:lvl w:ilvl="7" w:tplc="096E2328" w:tentative="1">
      <w:start w:val="1"/>
      <w:numFmt w:val="bullet"/>
      <w:lvlText w:val=""/>
      <w:lvlJc w:val="left"/>
      <w:pPr>
        <w:tabs>
          <w:tab w:val="num" w:pos="5760"/>
        </w:tabs>
        <w:ind w:left="5760" w:hanging="360"/>
      </w:pPr>
      <w:rPr>
        <w:rFonts w:ascii="Wingdings" w:hAnsi="Wingdings" w:hint="default"/>
      </w:rPr>
    </w:lvl>
    <w:lvl w:ilvl="8" w:tplc="3CFA8D4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126AD3"/>
    <w:multiLevelType w:val="hybridMultilevel"/>
    <w:tmpl w:val="BC1E3F42"/>
    <w:lvl w:ilvl="0" w:tplc="3D0A28F0">
      <w:start w:val="1"/>
      <w:numFmt w:val="bullet"/>
      <w:lvlText w:val="•"/>
      <w:lvlJc w:val="left"/>
      <w:pPr>
        <w:tabs>
          <w:tab w:val="num" w:pos="720"/>
        </w:tabs>
        <w:ind w:left="720" w:hanging="360"/>
      </w:pPr>
      <w:rPr>
        <w:rFonts w:ascii="Arial" w:hAnsi="Arial" w:hint="default"/>
      </w:rPr>
    </w:lvl>
    <w:lvl w:ilvl="1" w:tplc="094AA2D6" w:tentative="1">
      <w:start w:val="1"/>
      <w:numFmt w:val="bullet"/>
      <w:lvlText w:val="•"/>
      <w:lvlJc w:val="left"/>
      <w:pPr>
        <w:tabs>
          <w:tab w:val="num" w:pos="1440"/>
        </w:tabs>
        <w:ind w:left="1440" w:hanging="360"/>
      </w:pPr>
      <w:rPr>
        <w:rFonts w:ascii="Arial" w:hAnsi="Arial" w:hint="default"/>
      </w:rPr>
    </w:lvl>
    <w:lvl w:ilvl="2" w:tplc="6B447E84" w:tentative="1">
      <w:start w:val="1"/>
      <w:numFmt w:val="bullet"/>
      <w:lvlText w:val="•"/>
      <w:lvlJc w:val="left"/>
      <w:pPr>
        <w:tabs>
          <w:tab w:val="num" w:pos="2160"/>
        </w:tabs>
        <w:ind w:left="2160" w:hanging="360"/>
      </w:pPr>
      <w:rPr>
        <w:rFonts w:ascii="Arial" w:hAnsi="Arial" w:hint="default"/>
      </w:rPr>
    </w:lvl>
    <w:lvl w:ilvl="3" w:tplc="020CF38E" w:tentative="1">
      <w:start w:val="1"/>
      <w:numFmt w:val="bullet"/>
      <w:lvlText w:val="•"/>
      <w:lvlJc w:val="left"/>
      <w:pPr>
        <w:tabs>
          <w:tab w:val="num" w:pos="2880"/>
        </w:tabs>
        <w:ind w:left="2880" w:hanging="360"/>
      </w:pPr>
      <w:rPr>
        <w:rFonts w:ascii="Arial" w:hAnsi="Arial" w:hint="default"/>
      </w:rPr>
    </w:lvl>
    <w:lvl w:ilvl="4" w:tplc="49107A5C" w:tentative="1">
      <w:start w:val="1"/>
      <w:numFmt w:val="bullet"/>
      <w:lvlText w:val="•"/>
      <w:lvlJc w:val="left"/>
      <w:pPr>
        <w:tabs>
          <w:tab w:val="num" w:pos="3600"/>
        </w:tabs>
        <w:ind w:left="3600" w:hanging="360"/>
      </w:pPr>
      <w:rPr>
        <w:rFonts w:ascii="Arial" w:hAnsi="Arial" w:hint="default"/>
      </w:rPr>
    </w:lvl>
    <w:lvl w:ilvl="5" w:tplc="B1E2C2FE" w:tentative="1">
      <w:start w:val="1"/>
      <w:numFmt w:val="bullet"/>
      <w:lvlText w:val="•"/>
      <w:lvlJc w:val="left"/>
      <w:pPr>
        <w:tabs>
          <w:tab w:val="num" w:pos="4320"/>
        </w:tabs>
        <w:ind w:left="4320" w:hanging="360"/>
      </w:pPr>
      <w:rPr>
        <w:rFonts w:ascii="Arial" w:hAnsi="Arial" w:hint="default"/>
      </w:rPr>
    </w:lvl>
    <w:lvl w:ilvl="6" w:tplc="28D84158" w:tentative="1">
      <w:start w:val="1"/>
      <w:numFmt w:val="bullet"/>
      <w:lvlText w:val="•"/>
      <w:lvlJc w:val="left"/>
      <w:pPr>
        <w:tabs>
          <w:tab w:val="num" w:pos="5040"/>
        </w:tabs>
        <w:ind w:left="5040" w:hanging="360"/>
      </w:pPr>
      <w:rPr>
        <w:rFonts w:ascii="Arial" w:hAnsi="Arial" w:hint="default"/>
      </w:rPr>
    </w:lvl>
    <w:lvl w:ilvl="7" w:tplc="4834795C" w:tentative="1">
      <w:start w:val="1"/>
      <w:numFmt w:val="bullet"/>
      <w:lvlText w:val="•"/>
      <w:lvlJc w:val="left"/>
      <w:pPr>
        <w:tabs>
          <w:tab w:val="num" w:pos="5760"/>
        </w:tabs>
        <w:ind w:left="5760" w:hanging="360"/>
      </w:pPr>
      <w:rPr>
        <w:rFonts w:ascii="Arial" w:hAnsi="Arial" w:hint="default"/>
      </w:rPr>
    </w:lvl>
    <w:lvl w:ilvl="8" w:tplc="5BE26D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C56"/>
    <w:rsid w:val="001E7E0B"/>
    <w:rsid w:val="002E6C56"/>
    <w:rsid w:val="00882E5D"/>
    <w:rsid w:val="00DF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4DA6"/>
  <w15:chartTrackingRefBased/>
  <w15:docId w15:val="{80E2D1E2-FF61-4819-8335-17713BE2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C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6C5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5941">
      <w:bodyDiv w:val="1"/>
      <w:marLeft w:val="0"/>
      <w:marRight w:val="0"/>
      <w:marTop w:val="0"/>
      <w:marBottom w:val="0"/>
      <w:divBdr>
        <w:top w:val="none" w:sz="0" w:space="0" w:color="auto"/>
        <w:left w:val="none" w:sz="0" w:space="0" w:color="auto"/>
        <w:bottom w:val="none" w:sz="0" w:space="0" w:color="auto"/>
        <w:right w:val="none" w:sz="0" w:space="0" w:color="auto"/>
      </w:divBdr>
      <w:divsChild>
        <w:div w:id="273639018">
          <w:marLeft w:val="446"/>
          <w:marRight w:val="0"/>
          <w:marTop w:val="0"/>
          <w:marBottom w:val="0"/>
          <w:divBdr>
            <w:top w:val="none" w:sz="0" w:space="0" w:color="auto"/>
            <w:left w:val="none" w:sz="0" w:space="0" w:color="auto"/>
            <w:bottom w:val="none" w:sz="0" w:space="0" w:color="auto"/>
            <w:right w:val="none" w:sz="0" w:space="0" w:color="auto"/>
          </w:divBdr>
        </w:div>
        <w:div w:id="1524830421">
          <w:marLeft w:val="1166"/>
          <w:marRight w:val="0"/>
          <w:marTop w:val="0"/>
          <w:marBottom w:val="0"/>
          <w:divBdr>
            <w:top w:val="none" w:sz="0" w:space="0" w:color="auto"/>
            <w:left w:val="none" w:sz="0" w:space="0" w:color="auto"/>
            <w:bottom w:val="none" w:sz="0" w:space="0" w:color="auto"/>
            <w:right w:val="none" w:sz="0" w:space="0" w:color="auto"/>
          </w:divBdr>
        </w:div>
        <w:div w:id="1731540868">
          <w:marLeft w:val="1166"/>
          <w:marRight w:val="0"/>
          <w:marTop w:val="0"/>
          <w:marBottom w:val="0"/>
          <w:divBdr>
            <w:top w:val="none" w:sz="0" w:space="0" w:color="auto"/>
            <w:left w:val="none" w:sz="0" w:space="0" w:color="auto"/>
            <w:bottom w:val="none" w:sz="0" w:space="0" w:color="auto"/>
            <w:right w:val="none" w:sz="0" w:space="0" w:color="auto"/>
          </w:divBdr>
        </w:div>
        <w:div w:id="2080402733">
          <w:marLeft w:val="446"/>
          <w:marRight w:val="0"/>
          <w:marTop w:val="0"/>
          <w:marBottom w:val="0"/>
          <w:divBdr>
            <w:top w:val="none" w:sz="0" w:space="0" w:color="auto"/>
            <w:left w:val="none" w:sz="0" w:space="0" w:color="auto"/>
            <w:bottom w:val="none" w:sz="0" w:space="0" w:color="auto"/>
            <w:right w:val="none" w:sz="0" w:space="0" w:color="auto"/>
          </w:divBdr>
        </w:div>
        <w:div w:id="474302665">
          <w:marLeft w:val="1166"/>
          <w:marRight w:val="0"/>
          <w:marTop w:val="0"/>
          <w:marBottom w:val="0"/>
          <w:divBdr>
            <w:top w:val="none" w:sz="0" w:space="0" w:color="auto"/>
            <w:left w:val="none" w:sz="0" w:space="0" w:color="auto"/>
            <w:bottom w:val="none" w:sz="0" w:space="0" w:color="auto"/>
            <w:right w:val="none" w:sz="0" w:space="0" w:color="auto"/>
          </w:divBdr>
        </w:div>
        <w:div w:id="279649174">
          <w:marLeft w:val="1166"/>
          <w:marRight w:val="0"/>
          <w:marTop w:val="0"/>
          <w:marBottom w:val="0"/>
          <w:divBdr>
            <w:top w:val="none" w:sz="0" w:space="0" w:color="auto"/>
            <w:left w:val="none" w:sz="0" w:space="0" w:color="auto"/>
            <w:bottom w:val="none" w:sz="0" w:space="0" w:color="auto"/>
            <w:right w:val="none" w:sz="0" w:space="0" w:color="auto"/>
          </w:divBdr>
        </w:div>
        <w:div w:id="1195382075">
          <w:marLeft w:val="1166"/>
          <w:marRight w:val="0"/>
          <w:marTop w:val="0"/>
          <w:marBottom w:val="0"/>
          <w:divBdr>
            <w:top w:val="none" w:sz="0" w:space="0" w:color="auto"/>
            <w:left w:val="none" w:sz="0" w:space="0" w:color="auto"/>
            <w:bottom w:val="none" w:sz="0" w:space="0" w:color="auto"/>
            <w:right w:val="none" w:sz="0" w:space="0" w:color="auto"/>
          </w:divBdr>
        </w:div>
      </w:divsChild>
    </w:div>
    <w:div w:id="1514414494">
      <w:bodyDiv w:val="1"/>
      <w:marLeft w:val="0"/>
      <w:marRight w:val="0"/>
      <w:marTop w:val="0"/>
      <w:marBottom w:val="0"/>
      <w:divBdr>
        <w:top w:val="none" w:sz="0" w:space="0" w:color="auto"/>
        <w:left w:val="none" w:sz="0" w:space="0" w:color="auto"/>
        <w:bottom w:val="none" w:sz="0" w:space="0" w:color="auto"/>
        <w:right w:val="none" w:sz="0" w:space="0" w:color="auto"/>
      </w:divBdr>
      <w:divsChild>
        <w:div w:id="324868370">
          <w:marLeft w:val="274"/>
          <w:marRight w:val="0"/>
          <w:marTop w:val="0"/>
          <w:marBottom w:val="0"/>
          <w:divBdr>
            <w:top w:val="none" w:sz="0" w:space="0" w:color="auto"/>
            <w:left w:val="none" w:sz="0" w:space="0" w:color="auto"/>
            <w:bottom w:val="none" w:sz="0" w:space="0" w:color="auto"/>
            <w:right w:val="none" w:sz="0" w:space="0" w:color="auto"/>
          </w:divBdr>
        </w:div>
        <w:div w:id="559563158">
          <w:marLeft w:val="274"/>
          <w:marRight w:val="0"/>
          <w:marTop w:val="0"/>
          <w:marBottom w:val="0"/>
          <w:divBdr>
            <w:top w:val="none" w:sz="0" w:space="0" w:color="auto"/>
            <w:left w:val="none" w:sz="0" w:space="0" w:color="auto"/>
            <w:bottom w:val="none" w:sz="0" w:space="0" w:color="auto"/>
            <w:right w:val="none" w:sz="0" w:space="0" w:color="auto"/>
          </w:divBdr>
        </w:div>
        <w:div w:id="917665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Andrews</dc:creator>
  <cp:keywords/>
  <dc:description/>
  <cp:lastModifiedBy>Jovial Terry-Jackson</cp:lastModifiedBy>
  <cp:revision>3</cp:revision>
  <dcterms:created xsi:type="dcterms:W3CDTF">2021-10-14T17:05:00Z</dcterms:created>
  <dcterms:modified xsi:type="dcterms:W3CDTF">2021-10-16T13:20:00Z</dcterms:modified>
</cp:coreProperties>
</file>